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bidi/>
      </w:pPr>
      <w:r>
        <w:rPr>
          <w:rFonts w:ascii="Traditional Arabic" w:hAnsi="Traditional Arabic" w:cs="Traditional Arabic"/>
          <w:b/>
          <w:color w:val="1E3A5C"/>
          <w:sz w:val="38"/>
          <w:rtl/>
          <w:szCs w:val="38"/>
        </w:rPr>
        <w:t>• شيوخه وتلاميذه :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سمع والده، وشبابة ، ومحمد بن يوسف الفريابي وغيرهم . سمع منه ولده صالح</w:t>
      </w:r>
      <w:r>
        <w:rPr>
          <w:vertAlign w:val="superscript"/>
        </w:rPr>
        <w:footnoteReference w:id="1"/>
      </w:r>
      <w:r>
        <w:rPr>
          <w:rFonts w:ascii="Traditional Arabic" w:hAnsi="Traditional Arabic" w:cs="Traditional Arabic"/>
          <w:sz w:val="32"/>
          <w:rtl/>
          <w:szCs w:val="32"/>
        </w:rPr>
        <w:t>.</w:t>
      </w:r>
    </w:p>
    <w:p>
      <w:pPr>
        <w:pStyle w:val="Heading1"/>
        <w:bidi/>
      </w:pPr>
      <w:r>
        <w:rPr>
          <w:rFonts w:ascii="Traditional Arabic" w:hAnsi="Traditional Arabic" w:cs="Traditional Arabic"/>
          <w:b/>
          <w:color w:val="1E3A5C"/>
          <w:sz w:val="38"/>
          <w:rtl/>
          <w:szCs w:val="38"/>
        </w:rPr>
        <w:t>• عقيدته ومذهبه :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عاصر العجلي أوائل الفرق المبتدعة كالشيعة والخوارج والنواصب والمعتزلة والقدرية والجهمية وغيرها ، وكان موقفه صلباً في مواجهة تلك الفرق الضالة ، ومما أُثْر عنه في ذلك قوله : (( من قال القرآن مخلوق فهو كافر، ومن آمن برجعة علي فهو كافر))</w:t>
      </w:r>
      <w:r>
        <w:rPr>
          <w:vertAlign w:val="superscript"/>
        </w:rPr>
        <w:footnoteReference w:id="2"/>
      </w:r>
      <w:r>
        <w:rPr>
          <w:rFonts w:ascii="Traditional Arabic" w:hAnsi="Traditional Arabic" w:cs="Traditional Arabic"/>
          <w:sz w:val="32"/>
          <w:rtl/>
          <w:szCs w:val="32"/>
        </w:rPr>
        <w:t>.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 xml:space="preserve">وأما مذهبه الفقهي فلم يكن يتمذهب بمذهب معين بل ينحو منحى أهل الحديث من الأخذ بالدليل أنى وجد </w:t>
      </w:r>
      <w:r>
        <w:rPr>
          <w:vertAlign w:val="superscript"/>
        </w:rPr>
        <w:footnoteReference w:id="3"/>
      </w:r>
      <w:r>
        <w:rPr>
          <w:rFonts w:ascii="Traditional Arabic" w:hAnsi="Traditional Arabic" w:cs="Traditional Arabic"/>
          <w:sz w:val="32"/>
          <w:rtl/>
          <w:szCs w:val="32"/>
        </w:rPr>
        <w:t>.</w:t>
      </w:r>
    </w:p>
    <w:p>
      <w:pPr>
        <w:pStyle w:val="Heading1"/>
        <w:bidi/>
      </w:pPr>
      <w:r>
        <w:rPr>
          <w:rFonts w:ascii="Traditional Arabic" w:hAnsi="Traditional Arabic" w:cs="Traditional Arabic"/>
          <w:b/>
          <w:color w:val="1E3A5C"/>
          <w:sz w:val="38"/>
          <w:rtl/>
          <w:szCs w:val="38"/>
        </w:rPr>
        <w:t>• تز كية العلماء له :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١ - قال ابن معين وقد سمع منه : ثقة ، ابن ثقة ، ابن ثقة .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 xml:space="preserve">٢- قال عباس الدوري : كنا نعده مثل أحمد بن حنبل ، ويحيى بن معين </w:t>
      </w:r>
      <w:r>
        <w:rPr>
          <w:vertAlign w:val="superscript"/>
        </w:rPr>
        <w:footnoteReference w:id="4"/>
      </w:r>
      <w:r>
        <w:rPr>
          <w:rFonts w:ascii="Traditional Arabic" w:hAnsi="Traditional Arabic" w:cs="Traditional Arabic"/>
          <w:sz w:val="32"/>
          <w:rtl/>
          <w:szCs w:val="32"/>
        </w:rPr>
        <w:t>.</w:t>
      </w:r>
    </w:p>
    <w:p>
      <w:pPr>
        <w:bidi/>
        <w:jc w:val="both"/>
      </w:pPr>
      <w:r>
        <w:rPr>
          <w:rFonts w:ascii="Traditional Arabic" w:hAnsi="Traditional Arabic" w:cs="Traditional Arabic"/>
          <w:sz w:val="32"/>
          <w:rtl/>
          <w:szCs w:val="32"/>
        </w:rPr>
        <w:t>٣- وقال الذهبي: ((الإمام، الحافظ، القدوة))</w:t>
      </w:r>
      <w:r>
        <w:rPr>
          <w:vertAlign w:val="superscript"/>
        </w:rPr>
        <w:footnoteReference w:id="5"/>
      </w:r>
      <w:r>
        <w:rPr>
          <w:rFonts w:ascii="Traditional Arabic" w:hAnsi="Traditional Arabic" w:cs="Traditional Arabic"/>
          <w:sz w:val="32"/>
          <w:rtl/>
          <w:szCs w:val="32"/>
        </w:rPr>
        <w:t>.</w:t>
      </w:r>
    </w:p>
    <w:sectPr w:rsidR="00FC693F" w:rsidRPr="0006063C" w:rsidSect="00034616">
      <w:footnotePr>
        <w:numFmt w:val="decimalEnclosedParen"/>
        <w:numRestart w:val="eachPage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bidi/>
        <w:spacing w:after="20"/>
      </w:pPr>
      <w:r>
        <w:rPr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تاريخ بغداد (٢١٥/٤).</w:t>
      </w:r>
    </w:p>
  </w:footnote>
  <w:footnote w:id="2">
    <w:p>
      <w:pPr>
        <w:bidi/>
        <w:spacing w:after="20"/>
      </w:pPr>
      <w:r>
        <w:rPr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مقدمة عبد العليم البستوي محقق كتاب ترتيب ثقات العجلي (١ / ٦١).</w:t>
      </w:r>
    </w:p>
  </w:footnote>
  <w:footnote w:id="3">
    <w:p>
      <w:pPr>
        <w:bidi/>
        <w:spacing w:after="20"/>
      </w:pPr>
      <w:r>
        <w:rPr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السابق نفسه .</w:t>
      </w:r>
    </w:p>
  </w:footnote>
  <w:footnote w:id="4">
    <w:p>
      <w:pPr>
        <w:bidi/>
        <w:spacing w:after="20"/>
      </w:pPr>
      <w:r>
        <w:rPr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تاريخ بغداد (٢١٥،٢١٤/٤).</w:t>
      </w:r>
    </w:p>
  </w:footnote>
  <w:footnote w:id="5">
    <w:p>
      <w:pPr>
        <w:bidi/>
        <w:spacing w:after="20"/>
      </w:pPr>
      <w:r>
        <w:rPr>
          <w:rFonts w:ascii="Traditional Arabic" w:hAnsi="Traditional Arabic" w:cs="Traditional Arabic"/>
          <w:sz w:val="28"/>
          <w:szCs w:val="28"/>
        </w:rPr>
        <w:footnoteRef/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التذكرة (٥٦٠/٢).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pPr>
      <w:bidi/>
      <w:spacing w:before="0" w:after="80" w:line="276" w:lineRule="auto"/>
    </w:pPr>
    <w:name w:val="Normal"/>
    <w:qFormat/>
    <w:rsid w:val="00FC693F"/>
    <w:rPr>
      <w:rFonts w:ascii="Traditional Arabic" w:hAnsi="Traditional Arabic" w:cs="Traditional Arabic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40" w:line="276" w:lineRule="auto"/>
      <w:outlineLvl w:val="0"/>
      <w:bidi/>
    </w:pPr>
    <w:rPr>
      <w:rFonts w:asciiTheme="majorHAnsi" w:eastAsiaTheme="majorEastAsia" w:hAnsiTheme="majorHAnsi" w:cstheme="majorBidi" w:ascii="Traditional Arabic" w:hAnsi="Traditional Arabic" w:cs="Traditional Arabic"/>
      <w:b/>
      <w:bCs/>
      <w:color w:val="1E3A5C" w:themeColor="accent1" w:themeShade="BF"/>
      <w:sz w:val="38"/>
      <w:szCs w:val="3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40" w:line="276" w:lineRule="auto"/>
      <w:outlineLvl w:val="1"/>
      <w:bidi/>
    </w:pPr>
    <w:rPr>
      <w:rFonts w:asciiTheme="majorHAnsi" w:eastAsiaTheme="majorEastAsia" w:hAnsiTheme="majorHAnsi" w:cstheme="majorBidi" w:ascii="Traditional Arabic" w:hAnsi="Traditional Arabic" w:cs="Traditional Arabic"/>
      <w:b/>
      <w:bCs/>
      <w:color w:val="1E3A5C" w:themeColor="accent1"/>
      <w:sz w:val="38"/>
      <w:szCs w:val="3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40" w:line="276" w:lineRule="auto" w:before="200"/>
      <w:contextualSpacing/>
      <w:bidi/>
    </w:pPr>
    <w:rPr>
      <w:rFonts w:asciiTheme="majorHAnsi" w:eastAsiaTheme="majorEastAsia" w:hAnsiTheme="majorHAnsi" w:cstheme="majorBidi" w:ascii="Traditional Arabic" w:hAnsi="Traditional Arabic" w:cs="Traditional Arabic"/>
      <w:color w:val="1E3A5C" w:themeColor="text2" w:themeShade="BF"/>
      <w:spacing w:val="5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